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0C40" w14:textId="63B90B8B" w:rsidR="0051562C" w:rsidRDefault="006A6E28" w:rsidP="007A576E">
      <w:pPr>
        <w:pStyle w:val="Heading1"/>
        <w:jc w:val="center"/>
      </w:pPr>
      <w:r>
        <w:t xml:space="preserve">SCCSA Heading </w:t>
      </w:r>
      <w:r w:rsidR="0051562C">
        <w:t>and Concussion Guidelines.</w:t>
      </w:r>
    </w:p>
    <w:p w14:paraId="220F1516" w14:textId="02CA7016" w:rsidR="0051562C" w:rsidRDefault="009B44C9" w:rsidP="001A0FC1">
      <w:pPr>
        <w:pStyle w:val="Heading3"/>
        <w:ind w:left="720"/>
      </w:pPr>
      <w:r>
        <w:t>Background</w:t>
      </w:r>
    </w:p>
    <w:p w14:paraId="04B2688C" w14:textId="261A37A6" w:rsidR="009B44C9" w:rsidRDefault="009B44C9" w:rsidP="009B44C9">
      <w:pPr>
        <w:ind w:left="720"/>
      </w:pPr>
      <w:r>
        <w:t>This document set</w:t>
      </w:r>
      <w:r w:rsidR="00D608A8">
        <w:t>s</w:t>
      </w:r>
      <w:r>
        <w:t xml:space="preserve"> out the guiding princ</w:t>
      </w:r>
      <w:r w:rsidR="00B84AEB">
        <w:t>iples</w:t>
      </w:r>
      <w:r>
        <w:t xml:space="preserve"> </w:t>
      </w:r>
      <w:r w:rsidR="00FE40B4">
        <w:t xml:space="preserve">developed by AIS and </w:t>
      </w:r>
      <w:proofErr w:type="gramStart"/>
      <w:r w:rsidR="00FE40B4">
        <w:t>The</w:t>
      </w:r>
      <w:proofErr w:type="gramEnd"/>
      <w:r w:rsidR="00FE40B4">
        <w:t xml:space="preserve"> FA, </w:t>
      </w:r>
      <w:r>
        <w:t>a</w:t>
      </w:r>
      <w:r w:rsidR="00B84AEB">
        <w:t>n</w:t>
      </w:r>
      <w:r>
        <w:t xml:space="preserve">d </w:t>
      </w:r>
      <w:r w:rsidR="00B84AEB">
        <w:t>provid</w:t>
      </w:r>
      <w:r>
        <w:t>es general advice regarding</w:t>
      </w:r>
      <w:r w:rsidR="00890017">
        <w:t>:</w:t>
      </w:r>
    </w:p>
    <w:p w14:paraId="1AFA5E60" w14:textId="495409A8" w:rsidR="00890017" w:rsidRDefault="001D687B" w:rsidP="00890017">
      <w:pPr>
        <w:pStyle w:val="ListParagraph"/>
        <w:numPr>
          <w:ilvl w:val="0"/>
          <w:numId w:val="3"/>
        </w:numPr>
      </w:pPr>
      <w:r>
        <w:t>Recommended heading guidance for training sessions</w:t>
      </w:r>
      <w:r w:rsidR="00A7735D">
        <w:t xml:space="preserve"> for SCCSA Clubs, </w:t>
      </w:r>
      <w:proofErr w:type="gramStart"/>
      <w:r w:rsidR="00A7735D">
        <w:t>coaches</w:t>
      </w:r>
      <w:proofErr w:type="gramEnd"/>
      <w:r w:rsidR="00A7735D">
        <w:t xml:space="preserve"> and players</w:t>
      </w:r>
    </w:p>
    <w:p w14:paraId="711B0056" w14:textId="1FCB941B" w:rsidR="00A7735D" w:rsidRDefault="003D3E91" w:rsidP="00EB15F4">
      <w:pPr>
        <w:pStyle w:val="ListParagraph"/>
        <w:numPr>
          <w:ilvl w:val="0"/>
          <w:numId w:val="3"/>
        </w:numPr>
      </w:pPr>
      <w:r>
        <w:t>T</w:t>
      </w:r>
      <w:r w:rsidR="00EB15F4">
        <w:t xml:space="preserve">he management of concussion in </w:t>
      </w:r>
      <w:r>
        <w:t>SCCSA</w:t>
      </w:r>
    </w:p>
    <w:p w14:paraId="3A345B21" w14:textId="255CDE9E" w:rsidR="003E4810" w:rsidRDefault="003E4810" w:rsidP="003E4810">
      <w:pPr>
        <w:ind w:left="720"/>
      </w:pPr>
      <w:r>
        <w:t xml:space="preserve">These Guidelines are of a general nature only. Individual treatment will depend on the facts and circumstances specific to each individual case. These Guidelines are not intended as a standard of care and should not be interpreted as such. </w:t>
      </w:r>
    </w:p>
    <w:p w14:paraId="4CE9976A" w14:textId="4F9AE5DA" w:rsidR="00473210" w:rsidRDefault="003E4810" w:rsidP="00B8095E">
      <w:pPr>
        <w:ind w:left="720"/>
      </w:pPr>
      <w:r>
        <w:t xml:space="preserve">These Guidelines </w:t>
      </w:r>
      <w:r w:rsidR="00700C60">
        <w:t xml:space="preserve">have been </w:t>
      </w:r>
      <w:r w:rsidR="00CD4872">
        <w:t>soured</w:t>
      </w:r>
      <w:r w:rsidR="00700C60">
        <w:t xml:space="preserve"> from </w:t>
      </w:r>
      <w:r w:rsidR="00406501">
        <w:t xml:space="preserve">Australian Concussion Guidelines </w:t>
      </w:r>
      <w:r w:rsidR="00072193">
        <w:t>for Youth and Community Sport</w:t>
      </w:r>
      <w:r w:rsidR="00452786">
        <w:t xml:space="preserve"> and </w:t>
      </w:r>
      <w:r w:rsidR="00D608A8">
        <w:t>The FA Heading Guidance.</w:t>
      </w:r>
    </w:p>
    <w:p w14:paraId="389D0B48" w14:textId="091BF418" w:rsidR="00473210" w:rsidRDefault="00473210" w:rsidP="00204246">
      <w:pPr>
        <w:pStyle w:val="Heading1"/>
      </w:pPr>
      <w:r>
        <w:t xml:space="preserve"> CONCUSSION</w:t>
      </w:r>
    </w:p>
    <w:p w14:paraId="37858889" w14:textId="2162887E" w:rsidR="00C94280" w:rsidRDefault="00A400E7" w:rsidP="00C94280">
      <w:pPr>
        <w:ind w:left="720"/>
      </w:pPr>
      <w:r>
        <w:t>Concussion is a brain injury</w:t>
      </w:r>
      <w:r w:rsidR="00CD4B87">
        <w:t xml:space="preserve"> resulting in a disturbance of brain function</w:t>
      </w:r>
      <w:r w:rsidR="006F55BA">
        <w:t>. A concussion occurs through a coll</w:t>
      </w:r>
      <w:r w:rsidR="00E45DED">
        <w:t>ision</w:t>
      </w:r>
      <w:r w:rsidR="00B1771E">
        <w:t xml:space="preserve"> with another person or object </w:t>
      </w:r>
      <w:r w:rsidR="00755308">
        <w:t>where biomechanical forces to the head</w:t>
      </w:r>
      <w:r w:rsidR="006C2E74">
        <w:t xml:space="preserve">, or anywhere on the body transmit an </w:t>
      </w:r>
      <w:r w:rsidR="00A57FE1">
        <w:t>impulsive</w:t>
      </w:r>
      <w:r w:rsidR="006C2E74">
        <w:t xml:space="preserve"> force to the head</w:t>
      </w:r>
      <w:r w:rsidR="00A57FE1">
        <w:t>/brain.</w:t>
      </w:r>
    </w:p>
    <w:p w14:paraId="44CC09AD" w14:textId="54BE2176" w:rsidR="00C54DA2" w:rsidRDefault="00C54DA2" w:rsidP="00C54DA2">
      <w:pPr>
        <w:ind w:left="720"/>
      </w:pPr>
      <w:r>
        <w:t xml:space="preserve">Concussion is often an evolving injury, with symptoms changing over hours or days following the injury. There are often adverse effects on balance and cognitive function. Recovery times following concussion vary between </w:t>
      </w:r>
      <w:r w:rsidR="00EF1DCF">
        <w:t>athletes.</w:t>
      </w:r>
    </w:p>
    <w:p w14:paraId="14D74770" w14:textId="1607D03A" w:rsidR="00446452" w:rsidRDefault="00446452" w:rsidP="00204246">
      <w:pPr>
        <w:pStyle w:val="Heading2"/>
        <w:ind w:left="142"/>
      </w:pPr>
      <w:r>
        <w:t xml:space="preserve">1.1 </w:t>
      </w:r>
      <w:r w:rsidR="00C94280">
        <w:t>SIGNS OF CONCUSSION</w:t>
      </w:r>
    </w:p>
    <w:p w14:paraId="05D41D50" w14:textId="293DE0C2" w:rsidR="00354FB6" w:rsidRDefault="00C94280" w:rsidP="00446452">
      <w:pPr>
        <w:pStyle w:val="ListParagraph"/>
        <w:ind w:left="1080"/>
      </w:pPr>
      <w:r>
        <w:t xml:space="preserve">Immediate visual indicators of concussion include: </w:t>
      </w:r>
    </w:p>
    <w:p w14:paraId="6BBD455B" w14:textId="77777777" w:rsidR="00354FB6" w:rsidRDefault="00C94280" w:rsidP="00446452">
      <w:pPr>
        <w:pStyle w:val="ListParagraph"/>
        <w:ind w:left="1080"/>
      </w:pPr>
      <w:r>
        <w:t xml:space="preserve">(a) Loss of consciousness or </w:t>
      </w:r>
      <w:proofErr w:type="gramStart"/>
      <w:r>
        <w:t>responsiveness;</w:t>
      </w:r>
      <w:proofErr w:type="gramEnd"/>
      <w:r>
        <w:t xml:space="preserve"> </w:t>
      </w:r>
    </w:p>
    <w:p w14:paraId="3501116B" w14:textId="77777777" w:rsidR="00354FB6" w:rsidRDefault="00C94280" w:rsidP="00446452">
      <w:pPr>
        <w:pStyle w:val="ListParagraph"/>
        <w:ind w:left="1080"/>
      </w:pPr>
      <w:r>
        <w:t xml:space="preserve">(b) Lying motionless on the ground/slow to get </w:t>
      </w:r>
      <w:proofErr w:type="gramStart"/>
      <w:r>
        <w:t>up;</w:t>
      </w:r>
      <w:proofErr w:type="gramEnd"/>
      <w:r>
        <w:t xml:space="preserve"> </w:t>
      </w:r>
    </w:p>
    <w:p w14:paraId="521487A1" w14:textId="77777777" w:rsidR="00354FB6" w:rsidRDefault="00C94280" w:rsidP="00446452">
      <w:pPr>
        <w:pStyle w:val="ListParagraph"/>
        <w:ind w:left="1080"/>
      </w:pPr>
      <w:r>
        <w:t xml:space="preserve">(c) A dazed, blank or vacant </w:t>
      </w:r>
      <w:proofErr w:type="gramStart"/>
      <w:r>
        <w:t>expression;</w:t>
      </w:r>
      <w:proofErr w:type="gramEnd"/>
    </w:p>
    <w:p w14:paraId="4719DCF0" w14:textId="77777777" w:rsidR="00354FB6" w:rsidRDefault="00C94280" w:rsidP="00446452">
      <w:pPr>
        <w:pStyle w:val="ListParagraph"/>
        <w:ind w:left="1080"/>
      </w:pPr>
      <w:r>
        <w:t xml:space="preserve"> (d) Appearing unsteady on feet, balance problems or falling </w:t>
      </w:r>
      <w:proofErr w:type="gramStart"/>
      <w:r>
        <w:t>over;</w:t>
      </w:r>
      <w:proofErr w:type="gramEnd"/>
      <w:r>
        <w:t xml:space="preserve"> </w:t>
      </w:r>
    </w:p>
    <w:p w14:paraId="4A24C03B" w14:textId="77777777" w:rsidR="00354FB6" w:rsidRDefault="00C94280" w:rsidP="00446452">
      <w:pPr>
        <w:pStyle w:val="ListParagraph"/>
        <w:ind w:left="1080"/>
      </w:pPr>
      <w:r>
        <w:t xml:space="preserve">(e) Grabbing or clutching of the head </w:t>
      </w:r>
    </w:p>
    <w:p w14:paraId="67D8463C" w14:textId="77777777" w:rsidR="006C1D5D" w:rsidRDefault="00C94280" w:rsidP="00446452">
      <w:pPr>
        <w:pStyle w:val="ListParagraph"/>
        <w:ind w:left="1080"/>
      </w:pPr>
      <w:r>
        <w:t xml:space="preserve">(f) Impact seizure or convulsion </w:t>
      </w:r>
    </w:p>
    <w:p w14:paraId="229D204C" w14:textId="77777777" w:rsidR="006C1D5D" w:rsidRDefault="006C1D5D" w:rsidP="00446452">
      <w:pPr>
        <w:pStyle w:val="ListParagraph"/>
        <w:ind w:left="1080"/>
      </w:pPr>
    </w:p>
    <w:p w14:paraId="16DEFA25" w14:textId="77777777" w:rsidR="006C1D5D" w:rsidRDefault="00C94280" w:rsidP="00446452">
      <w:pPr>
        <w:pStyle w:val="ListParagraph"/>
        <w:ind w:left="1080"/>
      </w:pPr>
      <w:r>
        <w:t xml:space="preserve">Concussion can include one or more of the following symptoms: </w:t>
      </w:r>
    </w:p>
    <w:p w14:paraId="4351FA62" w14:textId="77777777" w:rsidR="006C1D5D" w:rsidRDefault="00C94280" w:rsidP="00446452">
      <w:pPr>
        <w:pStyle w:val="ListParagraph"/>
        <w:ind w:left="1080"/>
      </w:pPr>
      <w:r>
        <w:t xml:space="preserve">(a) Symptoms: Headache, dizziness, “feeling in a fog”. </w:t>
      </w:r>
    </w:p>
    <w:p w14:paraId="7367DF79" w14:textId="77777777" w:rsidR="006C1D5D" w:rsidRDefault="00C94280" w:rsidP="00446452">
      <w:pPr>
        <w:pStyle w:val="ListParagraph"/>
        <w:ind w:left="1080"/>
      </w:pPr>
      <w:r>
        <w:t xml:space="preserve">(b) Behavioural changes: Inappropriate emotions, irritability, feeling nervous or anxious. </w:t>
      </w:r>
    </w:p>
    <w:p w14:paraId="36BEFB59" w14:textId="77777777" w:rsidR="004B4C30" w:rsidRDefault="00C94280" w:rsidP="00446452">
      <w:pPr>
        <w:pStyle w:val="ListParagraph"/>
        <w:ind w:left="1080"/>
      </w:pPr>
      <w:r>
        <w:t xml:space="preserve">(c) Cognitive impairment: Slowed reaction times, confusion/disorientation- not aware of location or score, poor attention and concentration, loss of memory for events up to and/or after the concussion. </w:t>
      </w:r>
    </w:p>
    <w:p w14:paraId="179145CE" w14:textId="77777777" w:rsidR="004B4C30" w:rsidRDefault="004B4C30" w:rsidP="00446452">
      <w:pPr>
        <w:pStyle w:val="ListParagraph"/>
        <w:ind w:left="1080"/>
      </w:pPr>
    </w:p>
    <w:p w14:paraId="2F4B1235" w14:textId="77777777" w:rsidR="004B4C30" w:rsidRDefault="00C94280" w:rsidP="00446452">
      <w:pPr>
        <w:pStyle w:val="ListParagraph"/>
        <w:ind w:left="1080"/>
      </w:pPr>
      <w:r>
        <w:t xml:space="preserve">The Pocket Concussion Recognition Tool may be used to help identify a suspected concussion (see ‘Resources’ below). </w:t>
      </w:r>
    </w:p>
    <w:p w14:paraId="02A53AC9" w14:textId="77777777" w:rsidR="004B4C30" w:rsidRDefault="004B4C30" w:rsidP="00446452">
      <w:pPr>
        <w:pStyle w:val="ListParagraph"/>
        <w:ind w:left="1080"/>
      </w:pPr>
    </w:p>
    <w:p w14:paraId="483ED346" w14:textId="43E33226" w:rsidR="004B4C30" w:rsidRDefault="004B4C30" w:rsidP="00204246">
      <w:pPr>
        <w:pStyle w:val="Heading2"/>
        <w:ind w:left="284"/>
      </w:pPr>
      <w:r>
        <w:lastRenderedPageBreak/>
        <w:t xml:space="preserve">1.2 </w:t>
      </w:r>
      <w:r w:rsidR="00204246">
        <w:t>REMOVE FROM PLAY</w:t>
      </w:r>
      <w:r w:rsidR="00917B15">
        <w:t xml:space="preserve"> “</w:t>
      </w:r>
      <w:r w:rsidR="00917B15">
        <w:rPr>
          <w:rFonts w:ascii="Arial" w:hAnsi="Arial" w:cs="Arial"/>
          <w:color w:val="212721"/>
          <w:sz w:val="26"/>
          <w:szCs w:val="26"/>
          <w:shd w:val="clear" w:color="auto" w:fill="FFFFFF"/>
        </w:rPr>
        <w:t xml:space="preserve">Remember, if in doubt, sit them </w:t>
      </w:r>
      <w:proofErr w:type="gramStart"/>
      <w:r w:rsidR="00917B15">
        <w:rPr>
          <w:rFonts w:ascii="Arial" w:hAnsi="Arial" w:cs="Arial"/>
          <w:color w:val="212721"/>
          <w:sz w:val="26"/>
          <w:szCs w:val="26"/>
          <w:shd w:val="clear" w:color="auto" w:fill="FFFFFF"/>
        </w:rPr>
        <w:t>out”</w:t>
      </w:r>
      <w:proofErr w:type="gramEnd"/>
    </w:p>
    <w:p w14:paraId="7FEAA08D" w14:textId="2560BC29" w:rsidR="005C32FD" w:rsidRDefault="005C32FD" w:rsidP="005C32FD">
      <w:pPr>
        <w:pStyle w:val="ListParagraph"/>
        <w:ind w:left="1080"/>
      </w:pPr>
      <w:r>
        <w:t>I</w:t>
      </w:r>
      <w:r w:rsidR="0072678F">
        <w:t xml:space="preserve">mmediately following a suspected concussion, it is important to exclude ‘red flags’ (signs that suggest the athlete should go straight to hospital). Once ‘red flags’ have been excluded, the athlete should be referred to a health care practitioner. </w:t>
      </w:r>
    </w:p>
    <w:p w14:paraId="0CA45CA9" w14:textId="0E0B6B9D" w:rsidR="005C32FD" w:rsidRDefault="005C32FD" w:rsidP="005C32FD">
      <w:pPr>
        <w:pStyle w:val="ListParagraph"/>
        <w:ind w:left="1080"/>
      </w:pPr>
    </w:p>
    <w:p w14:paraId="4174A27D" w14:textId="2EB3E151" w:rsidR="00A14728" w:rsidRDefault="00A14728" w:rsidP="00112266">
      <w:pPr>
        <w:pStyle w:val="ListParagraph"/>
        <w:ind w:left="1080"/>
      </w:pPr>
      <w:r w:rsidRPr="00A14728">
        <w:rPr>
          <w:noProof/>
        </w:rPr>
        <w:lastRenderedPageBreak/>
        <w:drawing>
          <wp:anchor distT="0" distB="0" distL="114300" distR="114300" simplePos="0" relativeHeight="251659264" behindDoc="0" locked="0" layoutInCell="1" allowOverlap="1" wp14:anchorId="2FB012A4" wp14:editId="347BDDA5">
            <wp:simplePos x="0" y="0"/>
            <wp:positionH relativeFrom="column">
              <wp:posOffset>79375</wp:posOffset>
            </wp:positionH>
            <wp:positionV relativeFrom="paragraph">
              <wp:posOffset>488315</wp:posOffset>
            </wp:positionV>
            <wp:extent cx="5654040" cy="7905750"/>
            <wp:effectExtent l="0" t="0" r="0" b="0"/>
            <wp:wrapSquare wrapText="bothSides"/>
            <wp:docPr id="1415065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65820" name=""/>
                    <pic:cNvPicPr/>
                  </pic:nvPicPr>
                  <pic:blipFill>
                    <a:blip r:embed="rId5">
                      <a:extLst>
                        <a:ext uri="{28A0092B-C50C-407E-A947-70E740481C1C}">
                          <a14:useLocalDpi xmlns:a14="http://schemas.microsoft.com/office/drawing/2010/main" val="0"/>
                        </a:ext>
                      </a:extLst>
                    </a:blip>
                    <a:stretch>
                      <a:fillRect/>
                    </a:stretch>
                  </pic:blipFill>
                  <pic:spPr>
                    <a:xfrm>
                      <a:off x="0" y="0"/>
                      <a:ext cx="5654040" cy="7905750"/>
                    </a:xfrm>
                    <a:prstGeom prst="rect">
                      <a:avLst/>
                    </a:prstGeom>
                  </pic:spPr>
                </pic:pic>
              </a:graphicData>
            </a:graphic>
            <wp14:sizeRelH relativeFrom="margin">
              <wp14:pctWidth>0</wp14:pctWidth>
            </wp14:sizeRelH>
            <wp14:sizeRelV relativeFrom="margin">
              <wp14:pctHeight>0</wp14:pctHeight>
            </wp14:sizeRelV>
          </wp:anchor>
        </w:drawing>
      </w:r>
      <w:r w:rsidR="0072678F">
        <w:t xml:space="preserve">Return to sport and learning activities commences with a short period of rest of 24-48 hours, followed by a gradual return to sport and/or learn process. </w:t>
      </w:r>
    </w:p>
    <w:p w14:paraId="7B7B6537" w14:textId="6DBA376D" w:rsidR="00FD5302" w:rsidRDefault="00FD5302" w:rsidP="00FD5302">
      <w:pPr>
        <w:pStyle w:val="Heading2"/>
        <w:ind w:left="284"/>
      </w:pPr>
      <w:r>
        <w:t>1.</w:t>
      </w:r>
      <w:r w:rsidR="00932689">
        <w:t>3</w:t>
      </w:r>
      <w:r>
        <w:t xml:space="preserve"> RETURN TO PLAY</w:t>
      </w:r>
    </w:p>
    <w:p w14:paraId="7F5A6C48" w14:textId="77777777" w:rsidR="006606C2" w:rsidRDefault="0066260A" w:rsidP="0066260A">
      <w:r>
        <w:t xml:space="preserve">The risk of complications from concussion is increased if a player is permitted to return to sport before they have fully recovered. </w:t>
      </w:r>
    </w:p>
    <w:p w14:paraId="55961B51" w14:textId="77777777" w:rsidR="00707254" w:rsidRDefault="0066260A" w:rsidP="0066260A">
      <w:r>
        <w:t xml:space="preserve">The graded return to sport framework (GRTSF) for community and youth assists athletes/ coach/parents/teachers with concussion management through the recovery process and time frames for a safe return to sport/learn. </w:t>
      </w:r>
    </w:p>
    <w:p w14:paraId="52C53B66" w14:textId="77777777" w:rsidR="00707254" w:rsidRDefault="0066260A" w:rsidP="0066260A">
      <w:r>
        <w:t xml:space="preserve">The AIS return to sport protocol for community and youth sport </w:t>
      </w:r>
      <w:proofErr w:type="gramStart"/>
      <w:r>
        <w:t>includes;</w:t>
      </w:r>
      <w:proofErr w:type="gramEnd"/>
    </w:p>
    <w:p w14:paraId="0B11A848" w14:textId="3F7197EA" w:rsidR="00707254" w:rsidRDefault="0066260A" w:rsidP="00707254">
      <w:pPr>
        <w:pStyle w:val="ListParagraph"/>
        <w:numPr>
          <w:ilvl w:val="0"/>
          <w:numId w:val="6"/>
        </w:numPr>
      </w:pPr>
      <w:r>
        <w:t>Introduction of light exercise after an initial 24-48 hours of relative rest</w:t>
      </w:r>
    </w:p>
    <w:p w14:paraId="253BA0BE" w14:textId="77777777" w:rsidR="00707254" w:rsidRDefault="0066260A" w:rsidP="00707254">
      <w:pPr>
        <w:pStyle w:val="ListParagraph"/>
        <w:numPr>
          <w:ilvl w:val="0"/>
          <w:numId w:val="6"/>
        </w:numPr>
      </w:pPr>
      <w:r>
        <w:t>Several checkpoints to be cleared prior to progression.</w:t>
      </w:r>
    </w:p>
    <w:p w14:paraId="19218171" w14:textId="77777777" w:rsidR="00707254" w:rsidRDefault="0066260A" w:rsidP="00707254">
      <w:pPr>
        <w:pStyle w:val="ListParagraph"/>
        <w:numPr>
          <w:ilvl w:val="0"/>
          <w:numId w:val="6"/>
        </w:numPr>
      </w:pPr>
      <w:r>
        <w:t xml:space="preserve">Gradual reintroduction of learning and work activities. </w:t>
      </w:r>
    </w:p>
    <w:p w14:paraId="6ABEF6CF" w14:textId="77777777" w:rsidR="0052550D" w:rsidRDefault="0066260A" w:rsidP="00707254">
      <w:pPr>
        <w:pStyle w:val="ListParagraph"/>
        <w:numPr>
          <w:ilvl w:val="0"/>
          <w:numId w:val="6"/>
        </w:numPr>
      </w:pPr>
      <w:r>
        <w:t xml:space="preserve">At least 14 days symptom free (at rest) before return to </w:t>
      </w:r>
      <w:r w:rsidRPr="00707254">
        <w:rPr>
          <w:b/>
          <w:bCs/>
        </w:rPr>
        <w:t>contact/collision training</w:t>
      </w:r>
      <w:r>
        <w:t xml:space="preserve">. </w:t>
      </w:r>
    </w:p>
    <w:p w14:paraId="62DD398B" w14:textId="5631E66B" w:rsidR="0052550D" w:rsidRDefault="0066260A" w:rsidP="00707254">
      <w:pPr>
        <w:pStyle w:val="ListParagraph"/>
        <w:numPr>
          <w:ilvl w:val="0"/>
          <w:numId w:val="6"/>
        </w:numPr>
      </w:pPr>
      <w:r>
        <w:t xml:space="preserve">A minimum of 21 days until the resumption of </w:t>
      </w:r>
      <w:r w:rsidRPr="0052550D">
        <w:rPr>
          <w:b/>
          <w:bCs/>
        </w:rPr>
        <w:t>competitive contact/collision</w:t>
      </w:r>
      <w:r>
        <w:t xml:space="preserve"> </w:t>
      </w:r>
      <w:r w:rsidRPr="00CC2A5F">
        <w:rPr>
          <w:b/>
          <w:bCs/>
        </w:rPr>
        <w:t>sport.</w:t>
      </w:r>
    </w:p>
    <w:p w14:paraId="65EA77EC" w14:textId="255502EF" w:rsidR="0066260A" w:rsidRDefault="0066260A" w:rsidP="00707254">
      <w:pPr>
        <w:pStyle w:val="ListParagraph"/>
        <w:numPr>
          <w:ilvl w:val="0"/>
          <w:numId w:val="6"/>
        </w:numPr>
      </w:pPr>
      <w:r>
        <w:t xml:space="preserve">Return to learn and work activities should take priority over return to </w:t>
      </w:r>
      <w:proofErr w:type="gramStart"/>
      <w:r>
        <w:t>sport..</w:t>
      </w:r>
      <w:proofErr w:type="gramEnd"/>
    </w:p>
    <w:p w14:paraId="51A283E0" w14:textId="3506EE23" w:rsidR="00C3202C" w:rsidRDefault="00C3202C" w:rsidP="00C3202C">
      <w:pPr>
        <w:pStyle w:val="Heading2"/>
        <w:ind w:left="284"/>
      </w:pPr>
      <w:r>
        <w:t>1.</w:t>
      </w:r>
      <w:r w:rsidR="00932689">
        <w:t>4</w:t>
      </w:r>
      <w:r>
        <w:t xml:space="preserve"> CONCUSSION RESOURCES</w:t>
      </w:r>
    </w:p>
    <w:p w14:paraId="4AEA08E8" w14:textId="5B890DDE" w:rsidR="001B3007" w:rsidRDefault="001B3007" w:rsidP="00B75A5B">
      <w:pPr>
        <w:ind w:left="1134"/>
      </w:pPr>
      <w:r>
        <w:t xml:space="preserve">A) Pocket Concussion Recognition Tool, found here: </w:t>
      </w:r>
      <w:hyperlink r:id="rId6" w:history="1">
        <w:r w:rsidRPr="00694617">
          <w:rPr>
            <w:rStyle w:val="Hyperlink"/>
          </w:rPr>
          <w:t>http://bjsm.bmj.com/content/47/5/267.full.pdf</w:t>
        </w:r>
      </w:hyperlink>
    </w:p>
    <w:p w14:paraId="59B3925D" w14:textId="48883832" w:rsidR="001B3007" w:rsidRDefault="001B3007" w:rsidP="00B75A5B">
      <w:pPr>
        <w:ind w:left="1134"/>
      </w:pPr>
      <w:r>
        <w:t xml:space="preserve">B) SCAT 5 – Sport Concussion Assessment Tool – 5 </w:t>
      </w:r>
      <w:proofErr w:type="spellStart"/>
      <w:r>
        <w:t>th</w:t>
      </w:r>
      <w:proofErr w:type="spellEnd"/>
      <w:r>
        <w:t xml:space="preserve"> Edition, found here: </w:t>
      </w:r>
      <w:hyperlink r:id="rId7" w:history="1">
        <w:r w:rsidRPr="00694617">
          <w:rPr>
            <w:rStyle w:val="Hyperlink"/>
          </w:rPr>
          <w:t>http://bjsm.bmj.com/content/bjsports/51/11/851.full.pdf</w:t>
        </w:r>
      </w:hyperlink>
    </w:p>
    <w:p w14:paraId="19C56A44" w14:textId="5D17B9BF" w:rsidR="00B75A5B" w:rsidRDefault="001B3007" w:rsidP="00B75A5B">
      <w:pPr>
        <w:ind w:left="1134"/>
      </w:pPr>
      <w:r>
        <w:t xml:space="preserve">C) Child – SCAT5- Sport Concussion Assessment Tool (for children ages 5-12 years), found here: </w:t>
      </w:r>
      <w:hyperlink r:id="rId8" w:history="1">
        <w:r w:rsidR="00B75A5B" w:rsidRPr="00694617">
          <w:rPr>
            <w:rStyle w:val="Hyperlink"/>
          </w:rPr>
          <w:t>http://bjsm.bmj.com/content/bjsports/early/2017/04/28/bjsports-2017- 097492childscat5.full.pdf</w:t>
        </w:r>
      </w:hyperlink>
    </w:p>
    <w:p w14:paraId="5B0A36ED" w14:textId="261F3F09" w:rsidR="00B8095E" w:rsidRDefault="00B8095E" w:rsidP="00B75A5B">
      <w:pPr>
        <w:ind w:left="1134"/>
      </w:pPr>
      <w:r>
        <w:t xml:space="preserve">D) </w:t>
      </w:r>
      <w:r w:rsidR="00426542">
        <w:t xml:space="preserve">Australian Concussion </w:t>
      </w:r>
      <w:r w:rsidR="00082430">
        <w:t>Guidelines for Youth and Community Sport</w:t>
      </w:r>
      <w:r w:rsidR="00AB78BD">
        <w:t>, found here:</w:t>
      </w:r>
      <w:r w:rsidR="00AB78BD" w:rsidRPr="00AB78BD">
        <w:t xml:space="preserve"> </w:t>
      </w:r>
      <w:hyperlink r:id="rId9" w:history="1">
        <w:r w:rsidR="00AB78BD">
          <w:rPr>
            <w:rStyle w:val="Hyperlink"/>
          </w:rPr>
          <w:t>37382_Concussion-Guidelines-for-community-and-youth-FA-acc.pdf</w:t>
        </w:r>
      </w:hyperlink>
    </w:p>
    <w:p w14:paraId="0A1A261C" w14:textId="17478D08" w:rsidR="001B3007" w:rsidRDefault="00426542" w:rsidP="00B75A5B">
      <w:pPr>
        <w:ind w:left="1134"/>
      </w:pPr>
      <w:r>
        <w:t>E</w:t>
      </w:r>
      <w:r w:rsidR="001B3007">
        <w:t xml:space="preserve">) Graduated Return to </w:t>
      </w:r>
      <w:r w:rsidR="00486784">
        <w:t>Sport Framework</w:t>
      </w:r>
      <w:r w:rsidR="00661E68">
        <w:t xml:space="preserve"> found here: </w:t>
      </w:r>
      <w:hyperlink r:id="rId10" w:history="1">
        <w:r w:rsidR="00661E68">
          <w:rPr>
            <w:rStyle w:val="Hyperlink"/>
          </w:rPr>
          <w:t>Graded return to sport framework for community and youth (concussioninsport.gov.au)</w:t>
        </w:r>
      </w:hyperlink>
      <w:r w:rsidR="001B3007">
        <w:t xml:space="preserve"> </w:t>
      </w:r>
    </w:p>
    <w:p w14:paraId="27B052D6" w14:textId="7039B37C" w:rsidR="00253B16" w:rsidRDefault="001D5FF0" w:rsidP="00661E68">
      <w:r w:rsidRPr="00212B96">
        <w:rPr>
          <w:noProof/>
        </w:rPr>
        <w:lastRenderedPageBreak/>
        <w:drawing>
          <wp:anchor distT="0" distB="0" distL="114300" distR="114300" simplePos="0" relativeHeight="251658240" behindDoc="0" locked="0" layoutInCell="1" allowOverlap="1" wp14:anchorId="15C3A508" wp14:editId="6615DA79">
            <wp:simplePos x="0" y="0"/>
            <wp:positionH relativeFrom="column">
              <wp:posOffset>-400050</wp:posOffset>
            </wp:positionH>
            <wp:positionV relativeFrom="paragraph">
              <wp:posOffset>4114800</wp:posOffset>
            </wp:positionV>
            <wp:extent cx="7296150" cy="10357485"/>
            <wp:effectExtent l="0" t="0" r="0" b="0"/>
            <wp:wrapSquare wrapText="bothSides"/>
            <wp:docPr id="19543950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95048" name="Picture 1" descr="A screenshot of a compu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96150" cy="10357485"/>
                    </a:xfrm>
                    <a:prstGeom prst="rect">
                      <a:avLst/>
                    </a:prstGeom>
                  </pic:spPr>
                </pic:pic>
              </a:graphicData>
            </a:graphic>
            <wp14:sizeRelH relativeFrom="margin">
              <wp14:pctWidth>0</wp14:pctWidth>
            </wp14:sizeRelH>
          </wp:anchor>
        </w:drawing>
      </w:r>
      <w:r w:rsidR="00B75A5B">
        <w:tab/>
      </w:r>
    </w:p>
    <w:p w14:paraId="5CD8C9C4" w14:textId="0D5A2BB7" w:rsidR="00253B16" w:rsidRDefault="007E5F33" w:rsidP="00253B16">
      <w:pPr>
        <w:pStyle w:val="Heading1"/>
      </w:pPr>
      <w:r>
        <w:lastRenderedPageBreak/>
        <w:t>HEADING GUIDANCE</w:t>
      </w:r>
    </w:p>
    <w:p w14:paraId="3BD287ED" w14:textId="72CAF040" w:rsidR="001C6AC4" w:rsidRDefault="001C6AC4" w:rsidP="00F422F0">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The Following </w:t>
      </w:r>
      <w:r w:rsidRPr="001C6AC4">
        <w:rPr>
          <w:rFonts w:ascii="Arial" w:hAnsi="Arial" w:cs="Arial"/>
          <w:color w:val="333333"/>
        </w:rPr>
        <w:t xml:space="preserve">will provide </w:t>
      </w:r>
      <w:r>
        <w:rPr>
          <w:rFonts w:ascii="Arial" w:hAnsi="Arial" w:cs="Arial"/>
          <w:color w:val="333333"/>
        </w:rPr>
        <w:t>SCCSA</w:t>
      </w:r>
      <w:r w:rsidRPr="001C6AC4">
        <w:rPr>
          <w:rFonts w:ascii="Arial" w:hAnsi="Arial" w:cs="Arial"/>
          <w:color w:val="333333"/>
        </w:rPr>
        <w:t xml:space="preserve"> clubs, </w:t>
      </w:r>
      <w:proofErr w:type="gramStart"/>
      <w:r w:rsidRPr="001C6AC4">
        <w:rPr>
          <w:rFonts w:ascii="Arial" w:hAnsi="Arial" w:cs="Arial"/>
          <w:color w:val="333333"/>
        </w:rPr>
        <w:t>coaches</w:t>
      </w:r>
      <w:proofErr w:type="gramEnd"/>
      <w:r w:rsidRPr="001C6AC4">
        <w:rPr>
          <w:rFonts w:ascii="Arial" w:hAnsi="Arial" w:cs="Arial"/>
          <w:color w:val="333333"/>
        </w:rPr>
        <w:t xml:space="preserve"> and players with the recommended heading guidance for training sessions only. The guidance does not make any changes to the way matches are played.</w:t>
      </w:r>
    </w:p>
    <w:p w14:paraId="69984CA1" w14:textId="43CA4CFC" w:rsidR="00BE7B59" w:rsidRDefault="00BE7B59" w:rsidP="00BE7B59">
      <w:pPr>
        <w:pStyle w:val="Heading2"/>
        <w:ind w:left="142"/>
      </w:pPr>
      <w:r>
        <w:t>2.1 OUTLINE</w:t>
      </w:r>
    </w:p>
    <w:p w14:paraId="68BBA3E9" w14:textId="77777777" w:rsidR="00C426EC" w:rsidRDefault="00F422F0" w:rsidP="00C426EC">
      <w:pPr>
        <w:pStyle w:val="NormalWeb"/>
        <w:shd w:val="clear" w:color="auto" w:fill="FFFFFF"/>
        <w:spacing w:before="0" w:beforeAutospacing="0" w:after="0" w:afterAutospacing="0"/>
        <w:ind w:left="600"/>
        <w:rPr>
          <w:rFonts w:ascii="Arial" w:hAnsi="Arial" w:cs="Arial"/>
          <w:color w:val="333333"/>
        </w:rPr>
      </w:pPr>
      <w:r>
        <w:rPr>
          <w:rFonts w:ascii="Arial" w:hAnsi="Arial" w:cs="Arial"/>
          <w:color w:val="333333"/>
        </w:rPr>
        <w:t xml:space="preserve">• No heading in training in the foundation phase </w:t>
      </w:r>
      <w:r w:rsidR="001C6AC4">
        <w:rPr>
          <w:rFonts w:ascii="Arial" w:hAnsi="Arial" w:cs="Arial"/>
          <w:color w:val="333333"/>
        </w:rPr>
        <w:t>(U6 to U11)</w:t>
      </w:r>
      <w:r>
        <w:rPr>
          <w:rFonts w:ascii="Arial" w:hAnsi="Arial" w:cs="Arial"/>
          <w:color w:val="333333"/>
        </w:rPr>
        <w:br/>
        <w:t xml:space="preserve">• Graduated approach to heading training for children in the development phase </w:t>
      </w:r>
      <w:r w:rsidR="001C6AC4">
        <w:rPr>
          <w:rFonts w:ascii="Arial" w:hAnsi="Arial" w:cs="Arial"/>
          <w:color w:val="333333"/>
        </w:rPr>
        <w:t>(U</w:t>
      </w:r>
      <w:r>
        <w:rPr>
          <w:rFonts w:ascii="Arial" w:hAnsi="Arial" w:cs="Arial"/>
          <w:color w:val="333333"/>
        </w:rPr>
        <w:t xml:space="preserve">12 to </w:t>
      </w:r>
      <w:r w:rsidR="001C6AC4">
        <w:rPr>
          <w:rFonts w:ascii="Arial" w:hAnsi="Arial" w:cs="Arial"/>
          <w:color w:val="333333"/>
        </w:rPr>
        <w:t>U16</w:t>
      </w:r>
      <w:r w:rsidR="00A02D69">
        <w:rPr>
          <w:rFonts w:ascii="Arial" w:hAnsi="Arial" w:cs="Arial"/>
          <w:color w:val="333333"/>
        </w:rPr>
        <w:t>/17</w:t>
      </w:r>
      <w:r w:rsidR="001C6AC4">
        <w:rPr>
          <w:rFonts w:ascii="Arial" w:hAnsi="Arial" w:cs="Arial"/>
          <w:color w:val="333333"/>
        </w:rPr>
        <w:t>)</w:t>
      </w:r>
      <w:r>
        <w:rPr>
          <w:rFonts w:ascii="Arial" w:hAnsi="Arial" w:cs="Arial"/>
          <w:color w:val="333333"/>
        </w:rPr>
        <w:br/>
        <w:t>• Required ball sizes for training and matches for each age group</w:t>
      </w:r>
    </w:p>
    <w:p w14:paraId="373590BC" w14:textId="2DD7817A" w:rsidR="00C426EC" w:rsidRDefault="00C426EC" w:rsidP="00C426EC">
      <w:pPr>
        <w:pStyle w:val="NormalWeb"/>
        <w:shd w:val="clear" w:color="auto" w:fill="FFFFFF"/>
        <w:spacing w:before="0" w:beforeAutospacing="0" w:after="0" w:afterAutospacing="0"/>
        <w:ind w:left="600"/>
        <w:rPr>
          <w:rFonts w:ascii="Arial" w:hAnsi="Arial" w:cs="Arial"/>
          <w:color w:val="333333"/>
        </w:rPr>
      </w:pPr>
      <w:r>
        <w:rPr>
          <w:rFonts w:ascii="Arial" w:hAnsi="Arial" w:cs="Arial"/>
          <w:color w:val="333333"/>
        </w:rPr>
        <w:t xml:space="preserve">• </w:t>
      </w:r>
      <w:r w:rsidR="00BE7D99">
        <w:rPr>
          <w:rFonts w:ascii="Arial" w:hAnsi="Arial" w:cs="Arial"/>
          <w:color w:val="333333"/>
        </w:rPr>
        <w:t>Do</w:t>
      </w:r>
      <w:r w:rsidR="003C1982">
        <w:rPr>
          <w:rFonts w:ascii="Arial" w:hAnsi="Arial" w:cs="Arial"/>
          <w:color w:val="333333"/>
        </w:rPr>
        <w:t xml:space="preserve">n’t over inflate the balls: use the lowest pressure </w:t>
      </w:r>
      <w:r w:rsidR="0066486B">
        <w:rPr>
          <w:rFonts w:ascii="Arial" w:hAnsi="Arial" w:cs="Arial"/>
          <w:color w:val="333333"/>
        </w:rPr>
        <w:t>authorised by the laws of the game.</w:t>
      </w:r>
      <w:r w:rsidR="00F422F0">
        <w:rPr>
          <w:rFonts w:ascii="Arial" w:hAnsi="Arial" w:cs="Arial"/>
          <w:color w:val="333333"/>
        </w:rPr>
        <w:br/>
        <w:t>• No changes to heading in matches, taking into consideration the limited number of headers in youth games</w:t>
      </w:r>
    </w:p>
    <w:p w14:paraId="6E67F632" w14:textId="164D42AA" w:rsidR="0005025E" w:rsidRPr="007E5F33" w:rsidRDefault="0005025E" w:rsidP="007E5F33"/>
    <w:p w14:paraId="09263091" w14:textId="764F26E3" w:rsidR="007A2120" w:rsidRDefault="001D5FF0" w:rsidP="00461EED">
      <w:pPr>
        <w:pStyle w:val="Heading2"/>
        <w:ind w:left="142"/>
      </w:pPr>
      <w:r>
        <w:t>2.</w:t>
      </w:r>
      <w:r w:rsidR="00BE7B59">
        <w:t>2</w:t>
      </w:r>
      <w:r>
        <w:t xml:space="preserve"> </w:t>
      </w:r>
      <w:r w:rsidR="0066486B">
        <w:t>HEADING IN TRAINING</w:t>
      </w:r>
    </w:p>
    <w:tbl>
      <w:tblPr>
        <w:tblStyle w:val="MediumShading2-Accent5"/>
        <w:tblW w:w="5000" w:type="pct"/>
        <w:tblLook w:val="0660" w:firstRow="1" w:lastRow="1" w:firstColumn="0" w:lastColumn="0" w:noHBand="1" w:noVBand="1"/>
      </w:tblPr>
      <w:tblGrid>
        <w:gridCol w:w="2737"/>
        <w:gridCol w:w="6289"/>
      </w:tblGrid>
      <w:tr w:rsidR="007A2120" w14:paraId="7923DFE6" w14:textId="77777777" w:rsidTr="006347EC">
        <w:trPr>
          <w:cnfStyle w:val="100000000000" w:firstRow="1" w:lastRow="0" w:firstColumn="0" w:lastColumn="0" w:oddVBand="0" w:evenVBand="0" w:oddHBand="0" w:evenHBand="0" w:firstRowFirstColumn="0" w:firstRowLastColumn="0" w:lastRowFirstColumn="0" w:lastRowLastColumn="0"/>
          <w:trHeight w:val="267"/>
        </w:trPr>
        <w:tc>
          <w:tcPr>
            <w:tcW w:w="1516" w:type="pct"/>
            <w:noWrap/>
          </w:tcPr>
          <w:p w14:paraId="1921E486" w14:textId="48D69FC6" w:rsidR="007A2120" w:rsidRDefault="007A2120">
            <w:r>
              <w:t>AGE GOUP</w:t>
            </w:r>
          </w:p>
        </w:tc>
        <w:tc>
          <w:tcPr>
            <w:tcW w:w="3484" w:type="pct"/>
          </w:tcPr>
          <w:p w14:paraId="4448A4D9" w14:textId="4845B847" w:rsidR="007A2120" w:rsidRDefault="007A2120">
            <w:r>
              <w:t>Heading Fre</w:t>
            </w:r>
            <w:r w:rsidR="000615C4">
              <w:t>quency</w:t>
            </w:r>
          </w:p>
        </w:tc>
      </w:tr>
      <w:tr w:rsidR="007A2120" w14:paraId="41099FB9" w14:textId="77777777" w:rsidTr="006347EC">
        <w:trPr>
          <w:trHeight w:val="267"/>
        </w:trPr>
        <w:tc>
          <w:tcPr>
            <w:tcW w:w="1516" w:type="pct"/>
            <w:tcBorders>
              <w:bottom w:val="nil"/>
            </w:tcBorders>
            <w:noWrap/>
          </w:tcPr>
          <w:p w14:paraId="70517A28" w14:textId="77777777" w:rsidR="007A2120" w:rsidRDefault="007A2120"/>
        </w:tc>
        <w:tc>
          <w:tcPr>
            <w:tcW w:w="3484" w:type="pct"/>
            <w:tcBorders>
              <w:bottom w:val="nil"/>
            </w:tcBorders>
          </w:tcPr>
          <w:p w14:paraId="00C83743" w14:textId="4F5D37E7" w:rsidR="007A2120" w:rsidRDefault="007A2120">
            <w:pPr>
              <w:rPr>
                <w:rStyle w:val="SubtleEmphasis"/>
              </w:rPr>
            </w:pPr>
          </w:p>
        </w:tc>
      </w:tr>
      <w:tr w:rsidR="007A2120" w14:paraId="21D02E25" w14:textId="77777777" w:rsidTr="006347EC">
        <w:trPr>
          <w:trHeight w:val="505"/>
        </w:trPr>
        <w:tc>
          <w:tcPr>
            <w:tcW w:w="1516" w:type="pct"/>
            <w:tcBorders>
              <w:top w:val="nil"/>
              <w:bottom w:val="single" w:sz="4" w:space="0" w:color="auto"/>
            </w:tcBorders>
            <w:noWrap/>
          </w:tcPr>
          <w:p w14:paraId="29415F1D" w14:textId="31A4E057" w:rsidR="007A2120" w:rsidRDefault="000615C4">
            <w:r>
              <w:t>Under 6 to Under 11</w:t>
            </w:r>
          </w:p>
        </w:tc>
        <w:tc>
          <w:tcPr>
            <w:tcW w:w="3484" w:type="pct"/>
            <w:tcBorders>
              <w:top w:val="nil"/>
              <w:bottom w:val="single" w:sz="4" w:space="0" w:color="auto"/>
            </w:tcBorders>
          </w:tcPr>
          <w:p w14:paraId="4BEAAC62" w14:textId="20D0E980" w:rsidR="007A2120" w:rsidRDefault="000615C4">
            <w:pPr>
              <w:pStyle w:val="DecimalAligned"/>
            </w:pPr>
            <w:r>
              <w:t xml:space="preserve">Heading should not be introduced in training </w:t>
            </w:r>
            <w:r w:rsidR="00D81F2B">
              <w:t>sessions at this age.</w:t>
            </w:r>
          </w:p>
        </w:tc>
      </w:tr>
      <w:tr w:rsidR="007A2120" w14:paraId="78841E0F" w14:textId="77777777" w:rsidTr="006347EC">
        <w:trPr>
          <w:trHeight w:val="505"/>
        </w:trPr>
        <w:tc>
          <w:tcPr>
            <w:tcW w:w="1516" w:type="pct"/>
            <w:tcBorders>
              <w:top w:val="single" w:sz="4" w:space="0" w:color="auto"/>
              <w:bottom w:val="single" w:sz="4" w:space="0" w:color="auto"/>
            </w:tcBorders>
            <w:noWrap/>
          </w:tcPr>
          <w:p w14:paraId="4A870DCB" w14:textId="3DD6187F" w:rsidR="007A2120" w:rsidRDefault="00D81F2B">
            <w:r>
              <w:t>Under 12</w:t>
            </w:r>
            <w:r w:rsidR="004B57FF">
              <w:t xml:space="preserve"> </w:t>
            </w:r>
          </w:p>
        </w:tc>
        <w:tc>
          <w:tcPr>
            <w:tcW w:w="3484" w:type="pct"/>
            <w:tcBorders>
              <w:top w:val="single" w:sz="4" w:space="0" w:color="auto"/>
              <w:bottom w:val="single" w:sz="4" w:space="0" w:color="auto"/>
            </w:tcBorders>
          </w:tcPr>
          <w:p w14:paraId="78A529DB" w14:textId="006C5A39" w:rsidR="00B82166" w:rsidRDefault="00D81F2B" w:rsidP="00AE418D">
            <w:pPr>
              <w:pStyle w:val="DecimalAligned"/>
              <w:spacing w:after="0"/>
            </w:pPr>
            <w:r>
              <w:t xml:space="preserve">Heading remains a low </w:t>
            </w:r>
            <w:r w:rsidR="00B82166">
              <w:t>priority.</w:t>
            </w:r>
          </w:p>
          <w:p w14:paraId="1E3EB042" w14:textId="77777777" w:rsidR="007A2120" w:rsidRDefault="00B82166" w:rsidP="00AE418D">
            <w:pPr>
              <w:pStyle w:val="DecimalAligned"/>
              <w:tabs>
                <w:tab w:val="clear" w:pos="360"/>
              </w:tabs>
              <w:spacing w:after="0"/>
            </w:pPr>
            <w:r>
              <w:t>1</w:t>
            </w:r>
            <w:r w:rsidR="004B57FF">
              <w:t xml:space="preserve"> session per mo</w:t>
            </w:r>
            <w:r w:rsidR="006347EC">
              <w:t>n</w:t>
            </w:r>
            <w:r w:rsidR="004B57FF">
              <w:t>th &amp; max 5 headers</w:t>
            </w:r>
          </w:p>
          <w:p w14:paraId="7E2DBEF1" w14:textId="77777777" w:rsidR="00D07275" w:rsidRDefault="00152D0F" w:rsidP="00AE418D">
            <w:pPr>
              <w:pStyle w:val="DecimalAligned"/>
              <w:tabs>
                <w:tab w:val="clear" w:pos="360"/>
              </w:tabs>
              <w:spacing w:after="0"/>
            </w:pPr>
            <w:r>
              <w:t>Use of light balls, using self-serve or shor</w:t>
            </w:r>
            <w:r w:rsidR="00A41AFB">
              <w:t>t distance.</w:t>
            </w:r>
          </w:p>
          <w:p w14:paraId="3A29021C" w14:textId="365E477A" w:rsidR="00A41AFB" w:rsidRDefault="00A41AFB" w:rsidP="00AE418D">
            <w:pPr>
              <w:pStyle w:val="DecimalAligned"/>
              <w:tabs>
                <w:tab w:val="clear" w:pos="360"/>
              </w:tabs>
              <w:spacing w:after="0"/>
            </w:pPr>
            <w:r>
              <w:t xml:space="preserve">These limited sessions should introduce the </w:t>
            </w:r>
            <w:r w:rsidR="00CD1256">
              <w:t>technique and should always be unopposed.</w:t>
            </w:r>
          </w:p>
        </w:tc>
      </w:tr>
      <w:tr w:rsidR="007A2120" w14:paraId="32B4AB8E" w14:textId="77777777" w:rsidTr="006347EC">
        <w:trPr>
          <w:trHeight w:val="505"/>
        </w:trPr>
        <w:tc>
          <w:tcPr>
            <w:tcW w:w="1516" w:type="pct"/>
            <w:tcBorders>
              <w:top w:val="single" w:sz="4" w:space="0" w:color="auto"/>
              <w:bottom w:val="single" w:sz="4" w:space="0" w:color="auto"/>
            </w:tcBorders>
            <w:shd w:val="clear" w:color="auto" w:fill="auto"/>
            <w:noWrap/>
          </w:tcPr>
          <w:p w14:paraId="7F820B7F" w14:textId="1847C427" w:rsidR="007A2120" w:rsidRDefault="004B57FF">
            <w:r>
              <w:t>Under</w:t>
            </w:r>
            <w:r w:rsidR="000637CD">
              <w:t xml:space="preserve"> </w:t>
            </w:r>
            <w:r w:rsidR="00842FE2">
              <w:t>13</w:t>
            </w:r>
            <w:r>
              <w:t xml:space="preserve"> </w:t>
            </w:r>
            <w:r w:rsidR="007A2120">
              <w:t xml:space="preserve"> </w:t>
            </w:r>
          </w:p>
        </w:tc>
        <w:tc>
          <w:tcPr>
            <w:tcW w:w="3484" w:type="pct"/>
            <w:tcBorders>
              <w:top w:val="single" w:sz="4" w:space="0" w:color="auto"/>
              <w:bottom w:val="single" w:sz="4" w:space="0" w:color="auto"/>
            </w:tcBorders>
            <w:shd w:val="clear" w:color="auto" w:fill="auto"/>
          </w:tcPr>
          <w:p w14:paraId="5FE2ECB1" w14:textId="77777777" w:rsidR="00B82166" w:rsidRDefault="000637CD" w:rsidP="00AE418D">
            <w:pPr>
              <w:pStyle w:val="DecimalAligned"/>
              <w:spacing w:after="0"/>
            </w:pPr>
            <w:r>
              <w:t>Heading remains a low prio</w:t>
            </w:r>
            <w:r w:rsidR="00842FE2">
              <w:t>rity</w:t>
            </w:r>
            <w:r w:rsidR="00B82166">
              <w:t>.</w:t>
            </w:r>
          </w:p>
          <w:p w14:paraId="2D632795" w14:textId="77777777" w:rsidR="007A2120" w:rsidRDefault="00842FE2" w:rsidP="00AE418D">
            <w:pPr>
              <w:pStyle w:val="DecimalAligned"/>
              <w:tabs>
                <w:tab w:val="clear" w:pos="360"/>
              </w:tabs>
              <w:spacing w:after="0"/>
            </w:pPr>
            <w:r>
              <w:t>1 session per week and max 5 headers</w:t>
            </w:r>
          </w:p>
          <w:p w14:paraId="7F0A67B6" w14:textId="77777777" w:rsidR="00882F4A" w:rsidRDefault="00882F4A" w:rsidP="00AE418D">
            <w:pPr>
              <w:pStyle w:val="DecimalAligned"/>
              <w:tabs>
                <w:tab w:val="clear" w:pos="360"/>
              </w:tabs>
              <w:spacing w:after="0"/>
            </w:pPr>
            <w:r>
              <w:t xml:space="preserve">Use of light balls </w:t>
            </w:r>
          </w:p>
          <w:p w14:paraId="3B0016A0" w14:textId="3F822677" w:rsidR="00D82121" w:rsidRDefault="00D82121" w:rsidP="00AE418D">
            <w:pPr>
              <w:pStyle w:val="DecimalAligned"/>
              <w:tabs>
                <w:tab w:val="clear" w:pos="360"/>
              </w:tabs>
              <w:spacing w:after="0"/>
            </w:pPr>
            <w:r>
              <w:t>These limited sessions should introduce the technique and should always be unopposed.</w:t>
            </w:r>
          </w:p>
        </w:tc>
      </w:tr>
      <w:tr w:rsidR="00842FE2" w14:paraId="5A9695E5" w14:textId="77777777" w:rsidTr="006347EC">
        <w:trPr>
          <w:trHeight w:val="490"/>
        </w:trPr>
        <w:tc>
          <w:tcPr>
            <w:tcW w:w="1516" w:type="pct"/>
            <w:tcBorders>
              <w:top w:val="single" w:sz="4" w:space="0" w:color="auto"/>
              <w:bottom w:val="single" w:sz="4" w:space="0" w:color="auto"/>
            </w:tcBorders>
            <w:noWrap/>
          </w:tcPr>
          <w:p w14:paraId="58263D34" w14:textId="2E910267" w:rsidR="00842FE2" w:rsidRDefault="00842FE2" w:rsidP="00842FE2">
            <w:r>
              <w:t xml:space="preserve">Under 14 to Under 16/17  </w:t>
            </w:r>
          </w:p>
        </w:tc>
        <w:tc>
          <w:tcPr>
            <w:tcW w:w="3484" w:type="pct"/>
            <w:tcBorders>
              <w:top w:val="single" w:sz="4" w:space="0" w:color="auto"/>
              <w:bottom w:val="single" w:sz="4" w:space="0" w:color="auto"/>
            </w:tcBorders>
          </w:tcPr>
          <w:p w14:paraId="0F5B4B6E" w14:textId="645F1809" w:rsidR="00AE418D" w:rsidRDefault="00842FE2" w:rsidP="00AE418D">
            <w:pPr>
              <w:pStyle w:val="DecimalAligned"/>
              <w:spacing w:after="0"/>
            </w:pPr>
            <w:r>
              <w:t>Heading remains a low priority</w:t>
            </w:r>
            <w:r w:rsidR="00AE418D">
              <w:t>.</w:t>
            </w:r>
          </w:p>
          <w:p w14:paraId="725929D0" w14:textId="77777777" w:rsidR="00842FE2" w:rsidRDefault="00842FE2" w:rsidP="00AE418D">
            <w:pPr>
              <w:pStyle w:val="DecimalAligned"/>
              <w:tabs>
                <w:tab w:val="clear" w:pos="360"/>
              </w:tabs>
              <w:spacing w:after="0"/>
            </w:pPr>
            <w:r>
              <w:t xml:space="preserve">1 session per week </w:t>
            </w:r>
            <w:r w:rsidR="00C27C63">
              <w:t>and max 10 headers</w:t>
            </w:r>
          </w:p>
          <w:p w14:paraId="1FFAA769" w14:textId="77777777" w:rsidR="00B409B1" w:rsidRDefault="00B409B1" w:rsidP="00B409B1">
            <w:pPr>
              <w:pStyle w:val="DecimalAligned"/>
              <w:tabs>
                <w:tab w:val="clear" w:pos="360"/>
              </w:tabs>
              <w:spacing w:after="0"/>
            </w:pPr>
            <w:r>
              <w:t xml:space="preserve">Use of light balls </w:t>
            </w:r>
          </w:p>
          <w:p w14:paraId="0B67D46E" w14:textId="77777777" w:rsidR="00B2070F" w:rsidRDefault="00B2070F" w:rsidP="00AE418D">
            <w:pPr>
              <w:pStyle w:val="DecimalAligned"/>
              <w:tabs>
                <w:tab w:val="clear" w:pos="360"/>
              </w:tabs>
              <w:spacing w:after="0"/>
            </w:pPr>
            <w:r>
              <w:t>Players can be introduced to the basic concepts in training with limited repetition.</w:t>
            </w:r>
          </w:p>
          <w:p w14:paraId="4E06CCD4" w14:textId="4F64E70D" w:rsidR="002312C7" w:rsidRDefault="002312C7" w:rsidP="00AE418D">
            <w:pPr>
              <w:pStyle w:val="DecimalAligned"/>
              <w:tabs>
                <w:tab w:val="clear" w:pos="360"/>
              </w:tabs>
              <w:spacing w:after="0"/>
            </w:pPr>
            <w:r>
              <w:t>Coaches should use a variety of distances relative to the game at this age.</w:t>
            </w:r>
          </w:p>
        </w:tc>
      </w:tr>
      <w:tr w:rsidR="00842FE2" w14:paraId="0CFC2C2F" w14:textId="77777777" w:rsidTr="006347EC">
        <w:trPr>
          <w:cnfStyle w:val="010000000000" w:firstRow="0" w:lastRow="1" w:firstColumn="0" w:lastColumn="0" w:oddVBand="0" w:evenVBand="0" w:oddHBand="0" w:evenHBand="0" w:firstRowFirstColumn="0" w:firstRowLastColumn="0" w:lastRowFirstColumn="0" w:lastRowLastColumn="0"/>
          <w:trHeight w:val="505"/>
        </w:trPr>
        <w:tc>
          <w:tcPr>
            <w:tcW w:w="1516" w:type="pct"/>
            <w:tcBorders>
              <w:top w:val="single" w:sz="4" w:space="0" w:color="auto"/>
              <w:bottom w:val="single" w:sz="4" w:space="0" w:color="auto"/>
            </w:tcBorders>
            <w:noWrap/>
          </w:tcPr>
          <w:p w14:paraId="5E0148CF" w14:textId="354C2649" w:rsidR="00842FE2" w:rsidRDefault="00C27C63" w:rsidP="00842FE2">
            <w:r>
              <w:t xml:space="preserve">U18 </w:t>
            </w:r>
          </w:p>
        </w:tc>
        <w:tc>
          <w:tcPr>
            <w:tcW w:w="3484" w:type="pct"/>
            <w:tcBorders>
              <w:top w:val="single" w:sz="4" w:space="0" w:color="auto"/>
              <w:bottom w:val="single" w:sz="4" w:space="0" w:color="auto"/>
            </w:tcBorders>
          </w:tcPr>
          <w:p w14:paraId="68562E4A" w14:textId="77777777" w:rsidR="00461EED" w:rsidRDefault="00C27C63" w:rsidP="00461EED">
            <w:pPr>
              <w:pStyle w:val="DecimalAligned"/>
              <w:spacing w:after="0"/>
            </w:pPr>
            <w:r>
              <w:t xml:space="preserve">Heading drills should be reduced as far as possible, taking </w:t>
            </w:r>
            <w:proofErr w:type="gramStart"/>
            <w:r>
              <w:t>in to</w:t>
            </w:r>
            <w:proofErr w:type="gramEnd"/>
            <w:r>
              <w:t xml:space="preserve"> consideration the heading exposure in matches</w:t>
            </w:r>
            <w:r w:rsidR="00461EED">
              <w:t>.</w:t>
            </w:r>
          </w:p>
          <w:p w14:paraId="00431D00" w14:textId="77777777" w:rsidR="00461EED" w:rsidRDefault="00461EED" w:rsidP="00461EED">
            <w:pPr>
              <w:pStyle w:val="DecimalAligned"/>
              <w:tabs>
                <w:tab w:val="clear" w:pos="360"/>
              </w:tabs>
              <w:spacing w:after="0"/>
            </w:pPr>
            <w:r>
              <w:t>Should use a variety of heading situations players will experience.</w:t>
            </w:r>
          </w:p>
          <w:p w14:paraId="37AAAC00" w14:textId="77777777" w:rsidR="00461EED" w:rsidRDefault="00461EED" w:rsidP="00461EED">
            <w:pPr>
              <w:pStyle w:val="DecimalAligned"/>
              <w:tabs>
                <w:tab w:val="clear" w:pos="360"/>
              </w:tabs>
              <w:spacing w:after="0"/>
            </w:pPr>
            <w:r>
              <w:t xml:space="preserve">The introduction of contested headers. </w:t>
            </w:r>
          </w:p>
          <w:p w14:paraId="72530623" w14:textId="76F932B0" w:rsidR="00461EED" w:rsidRDefault="00461EED" w:rsidP="00461EED">
            <w:pPr>
              <w:pStyle w:val="DecimalAligned"/>
              <w:tabs>
                <w:tab w:val="clear" w:pos="360"/>
              </w:tabs>
              <w:spacing w:after="0"/>
            </w:pPr>
            <w:r>
              <w:t>Use of match balls may be used in the session</w:t>
            </w:r>
          </w:p>
        </w:tc>
      </w:tr>
    </w:tbl>
    <w:p w14:paraId="44DB063D" w14:textId="31D3A4D7" w:rsidR="007A2120" w:rsidRDefault="007A2120">
      <w:pPr>
        <w:pStyle w:val="FootnoteText"/>
      </w:pPr>
      <w:r>
        <w:rPr>
          <w:rStyle w:val="SubtleEmphasis"/>
        </w:rPr>
        <w:t>Source:</w:t>
      </w:r>
      <w:r>
        <w:t xml:space="preserve"> </w:t>
      </w:r>
      <w:r w:rsidR="006347EC">
        <w:t>FA Heading Guidance</w:t>
      </w:r>
    </w:p>
    <w:p w14:paraId="6B4A76C4" w14:textId="6DDC7DFA" w:rsidR="00FF40FD" w:rsidRDefault="00E64DC0" w:rsidP="00FF40FD">
      <w:pPr>
        <w:pStyle w:val="Heading2"/>
        <w:ind w:left="284"/>
      </w:pPr>
      <w:r>
        <w:lastRenderedPageBreak/>
        <w:t>2.</w:t>
      </w:r>
      <w:r w:rsidR="00717B86">
        <w:t>3</w:t>
      </w:r>
      <w:r w:rsidR="00FF40FD">
        <w:t xml:space="preserve"> </w:t>
      </w:r>
      <w:r>
        <w:t>RESOURCES</w:t>
      </w:r>
    </w:p>
    <w:p w14:paraId="28B5ADC9" w14:textId="470F0F68" w:rsidR="00253B16" w:rsidRDefault="00253B16" w:rsidP="00661E68"/>
    <w:p w14:paraId="5371D919" w14:textId="1E700E8F" w:rsidR="00C3202C" w:rsidRDefault="00AC66F6" w:rsidP="00661E68">
      <w:r>
        <w:t>England Foot</w:t>
      </w:r>
      <w:r w:rsidR="00A926D0">
        <w:t>ball</w:t>
      </w:r>
      <w:r w:rsidR="00BA27AA">
        <w:t xml:space="preserve"> Heading in Football</w:t>
      </w:r>
      <w:r w:rsidR="00891A78">
        <w:t xml:space="preserve">- </w:t>
      </w:r>
      <w:hyperlink r:id="rId12" w:history="1">
        <w:r w:rsidR="00891A78" w:rsidRPr="00694617">
          <w:rPr>
            <w:rStyle w:val="Hyperlink"/>
          </w:rPr>
          <w:t>https://www.englandfootball.com/participate/learn/Brain-Health/Heading-in-Football</w:t>
        </w:r>
      </w:hyperlink>
    </w:p>
    <w:p w14:paraId="25DEF52E" w14:textId="661846E4" w:rsidR="00891A78" w:rsidRDefault="00891A78" w:rsidP="00661E68">
      <w:r>
        <w:t xml:space="preserve">The FA Heading Guidance- </w:t>
      </w:r>
      <w:hyperlink r:id="rId13" w:history="1">
        <w:r w:rsidR="00ED55C4" w:rsidRPr="00694617">
          <w:rPr>
            <w:rStyle w:val="Hyperlink"/>
          </w:rPr>
          <w:t>https://www.thefa.com/-/media/thefacom-new/files/rules-and-regulations/2021-22/heading-guidance/youth-heading-guidance-chart.ashx</w:t>
        </w:r>
      </w:hyperlink>
    </w:p>
    <w:p w14:paraId="54B216A9" w14:textId="48E3C7EC" w:rsidR="00ED55C4" w:rsidRDefault="00D55BE4" w:rsidP="00661E68">
      <w:r>
        <w:t xml:space="preserve">UEFA Heading guidelines for youth Players- </w:t>
      </w:r>
      <w:hyperlink r:id="rId14" w:history="1">
        <w:r w:rsidRPr="00694617">
          <w:rPr>
            <w:rStyle w:val="Hyperlink"/>
          </w:rPr>
          <w:t>https://www.uefa.com/MultimediaFiles/Download/uefaorg/Medical/02/64/21/56/2642156_DOWNLOAD.pdf</w:t>
        </w:r>
      </w:hyperlink>
    </w:p>
    <w:p w14:paraId="249C438E" w14:textId="77777777" w:rsidR="00D55BE4" w:rsidRDefault="00D55BE4" w:rsidP="00661E68"/>
    <w:p w14:paraId="551D3C69" w14:textId="77777777" w:rsidR="001279A1" w:rsidRPr="00C94280" w:rsidRDefault="001279A1" w:rsidP="00661E68"/>
    <w:sectPr w:rsidR="001279A1" w:rsidRPr="00C94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15C"/>
    <w:multiLevelType w:val="hybridMultilevel"/>
    <w:tmpl w:val="2AD239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D90243"/>
    <w:multiLevelType w:val="hybridMultilevel"/>
    <w:tmpl w:val="BE08E8B2"/>
    <w:lvl w:ilvl="0" w:tplc="4ED4B18C">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4265D28"/>
    <w:multiLevelType w:val="hybridMultilevel"/>
    <w:tmpl w:val="89CA74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A664BA"/>
    <w:multiLevelType w:val="hybridMultilevel"/>
    <w:tmpl w:val="89B46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AE63D8"/>
    <w:multiLevelType w:val="multilevel"/>
    <w:tmpl w:val="0BD68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1050F1E"/>
    <w:multiLevelType w:val="hybridMultilevel"/>
    <w:tmpl w:val="EC32F014"/>
    <w:lvl w:ilvl="0" w:tplc="BEC2CB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554896">
    <w:abstractNumId w:val="2"/>
  </w:num>
  <w:num w:numId="2" w16cid:durableId="466507906">
    <w:abstractNumId w:val="3"/>
  </w:num>
  <w:num w:numId="3" w16cid:durableId="1914049467">
    <w:abstractNumId w:val="1"/>
  </w:num>
  <w:num w:numId="4" w16cid:durableId="75564761">
    <w:abstractNumId w:val="5"/>
  </w:num>
  <w:num w:numId="5" w16cid:durableId="228537389">
    <w:abstractNumId w:val="4"/>
  </w:num>
  <w:num w:numId="6" w16cid:durableId="65113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4"/>
    <w:rsid w:val="0005025E"/>
    <w:rsid w:val="000615C4"/>
    <w:rsid w:val="000637CD"/>
    <w:rsid w:val="00072193"/>
    <w:rsid w:val="00077DFD"/>
    <w:rsid w:val="00082430"/>
    <w:rsid w:val="000C56D5"/>
    <w:rsid w:val="000E5B5C"/>
    <w:rsid w:val="00112266"/>
    <w:rsid w:val="001279A1"/>
    <w:rsid w:val="00152D0F"/>
    <w:rsid w:val="001A0FC1"/>
    <w:rsid w:val="001B3007"/>
    <w:rsid w:val="001C6AC4"/>
    <w:rsid w:val="001D5FF0"/>
    <w:rsid w:val="001D687B"/>
    <w:rsid w:val="00204246"/>
    <w:rsid w:val="00212B96"/>
    <w:rsid w:val="002312C7"/>
    <w:rsid w:val="002504B0"/>
    <w:rsid w:val="00253B16"/>
    <w:rsid w:val="003507E2"/>
    <w:rsid w:val="00354FB6"/>
    <w:rsid w:val="00361CAF"/>
    <w:rsid w:val="003C1982"/>
    <w:rsid w:val="003D3E91"/>
    <w:rsid w:val="003E4810"/>
    <w:rsid w:val="00406501"/>
    <w:rsid w:val="00426542"/>
    <w:rsid w:val="00446452"/>
    <w:rsid w:val="00452786"/>
    <w:rsid w:val="00461EED"/>
    <w:rsid w:val="00473210"/>
    <w:rsid w:val="00486784"/>
    <w:rsid w:val="004B4C30"/>
    <w:rsid w:val="004B57FF"/>
    <w:rsid w:val="0051562C"/>
    <w:rsid w:val="0052550D"/>
    <w:rsid w:val="005C32FD"/>
    <w:rsid w:val="00611BFF"/>
    <w:rsid w:val="006347EC"/>
    <w:rsid w:val="006606C2"/>
    <w:rsid w:val="00661E68"/>
    <w:rsid w:val="0066260A"/>
    <w:rsid w:val="0066486B"/>
    <w:rsid w:val="006A6E28"/>
    <w:rsid w:val="006C1D5D"/>
    <w:rsid w:val="006C2E74"/>
    <w:rsid w:val="006F55BA"/>
    <w:rsid w:val="00700C60"/>
    <w:rsid w:val="00707254"/>
    <w:rsid w:val="00717B86"/>
    <w:rsid w:val="0072678F"/>
    <w:rsid w:val="00755308"/>
    <w:rsid w:val="00781559"/>
    <w:rsid w:val="007A2120"/>
    <w:rsid w:val="007A576E"/>
    <w:rsid w:val="007E5F33"/>
    <w:rsid w:val="00842FE2"/>
    <w:rsid w:val="00882F4A"/>
    <w:rsid w:val="00890017"/>
    <w:rsid w:val="00891A78"/>
    <w:rsid w:val="00917B15"/>
    <w:rsid w:val="00932689"/>
    <w:rsid w:val="009B44C9"/>
    <w:rsid w:val="00A02D69"/>
    <w:rsid w:val="00A14728"/>
    <w:rsid w:val="00A2170D"/>
    <w:rsid w:val="00A400E7"/>
    <w:rsid w:val="00A41AFB"/>
    <w:rsid w:val="00A57FE1"/>
    <w:rsid w:val="00A7735D"/>
    <w:rsid w:val="00A926D0"/>
    <w:rsid w:val="00AB78BD"/>
    <w:rsid w:val="00AC66F6"/>
    <w:rsid w:val="00AD0BAF"/>
    <w:rsid w:val="00AE418D"/>
    <w:rsid w:val="00B1771E"/>
    <w:rsid w:val="00B2070F"/>
    <w:rsid w:val="00B409B1"/>
    <w:rsid w:val="00B651F3"/>
    <w:rsid w:val="00B75A5B"/>
    <w:rsid w:val="00B8095E"/>
    <w:rsid w:val="00B82166"/>
    <w:rsid w:val="00B84AEB"/>
    <w:rsid w:val="00B84EE3"/>
    <w:rsid w:val="00BA27AA"/>
    <w:rsid w:val="00BE1E00"/>
    <w:rsid w:val="00BE7B59"/>
    <w:rsid w:val="00BE7D99"/>
    <w:rsid w:val="00C27C63"/>
    <w:rsid w:val="00C3202C"/>
    <w:rsid w:val="00C426EC"/>
    <w:rsid w:val="00C54DA2"/>
    <w:rsid w:val="00C84AE5"/>
    <w:rsid w:val="00C94280"/>
    <w:rsid w:val="00CB3D0D"/>
    <w:rsid w:val="00CC1854"/>
    <w:rsid w:val="00CC2A5F"/>
    <w:rsid w:val="00CD1256"/>
    <w:rsid w:val="00CD4872"/>
    <w:rsid w:val="00CD4B87"/>
    <w:rsid w:val="00D07275"/>
    <w:rsid w:val="00D55BE4"/>
    <w:rsid w:val="00D608A8"/>
    <w:rsid w:val="00D81F2B"/>
    <w:rsid w:val="00D82121"/>
    <w:rsid w:val="00DB3F6E"/>
    <w:rsid w:val="00DB50F4"/>
    <w:rsid w:val="00E45DED"/>
    <w:rsid w:val="00E64DC0"/>
    <w:rsid w:val="00EB15F4"/>
    <w:rsid w:val="00ED55C4"/>
    <w:rsid w:val="00EF1DCF"/>
    <w:rsid w:val="00F16E33"/>
    <w:rsid w:val="00F422F0"/>
    <w:rsid w:val="00F80A82"/>
    <w:rsid w:val="00FD5302"/>
    <w:rsid w:val="00FE40B4"/>
    <w:rsid w:val="00FF4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55C8"/>
  <w15:chartTrackingRefBased/>
  <w15:docId w15:val="{8943C218-74D9-4778-9738-D7052AFA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5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5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5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5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0F4"/>
    <w:rPr>
      <w:rFonts w:eastAsiaTheme="majorEastAsia" w:cstheme="majorBidi"/>
      <w:color w:val="272727" w:themeColor="text1" w:themeTint="D8"/>
    </w:rPr>
  </w:style>
  <w:style w:type="paragraph" w:styleId="Title">
    <w:name w:val="Title"/>
    <w:basedOn w:val="Normal"/>
    <w:next w:val="Normal"/>
    <w:link w:val="TitleChar"/>
    <w:uiPriority w:val="10"/>
    <w:qFormat/>
    <w:rsid w:val="00DB5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0F4"/>
    <w:pPr>
      <w:spacing w:before="160"/>
      <w:jc w:val="center"/>
    </w:pPr>
    <w:rPr>
      <w:i/>
      <w:iCs/>
      <w:color w:val="404040" w:themeColor="text1" w:themeTint="BF"/>
    </w:rPr>
  </w:style>
  <w:style w:type="character" w:customStyle="1" w:styleId="QuoteChar">
    <w:name w:val="Quote Char"/>
    <w:basedOn w:val="DefaultParagraphFont"/>
    <w:link w:val="Quote"/>
    <w:uiPriority w:val="29"/>
    <w:rsid w:val="00DB50F4"/>
    <w:rPr>
      <w:i/>
      <w:iCs/>
      <w:color w:val="404040" w:themeColor="text1" w:themeTint="BF"/>
    </w:rPr>
  </w:style>
  <w:style w:type="paragraph" w:styleId="ListParagraph">
    <w:name w:val="List Paragraph"/>
    <w:basedOn w:val="Normal"/>
    <w:uiPriority w:val="34"/>
    <w:qFormat/>
    <w:rsid w:val="00DB50F4"/>
    <w:pPr>
      <w:ind w:left="720"/>
      <w:contextualSpacing/>
    </w:pPr>
  </w:style>
  <w:style w:type="character" w:styleId="IntenseEmphasis">
    <w:name w:val="Intense Emphasis"/>
    <w:basedOn w:val="DefaultParagraphFont"/>
    <w:uiPriority w:val="21"/>
    <w:qFormat/>
    <w:rsid w:val="00DB50F4"/>
    <w:rPr>
      <w:i/>
      <w:iCs/>
      <w:color w:val="0F4761" w:themeColor="accent1" w:themeShade="BF"/>
    </w:rPr>
  </w:style>
  <w:style w:type="paragraph" w:styleId="IntenseQuote">
    <w:name w:val="Intense Quote"/>
    <w:basedOn w:val="Normal"/>
    <w:next w:val="Normal"/>
    <w:link w:val="IntenseQuoteChar"/>
    <w:uiPriority w:val="30"/>
    <w:qFormat/>
    <w:rsid w:val="00DB5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0F4"/>
    <w:rPr>
      <w:i/>
      <w:iCs/>
      <w:color w:val="0F4761" w:themeColor="accent1" w:themeShade="BF"/>
    </w:rPr>
  </w:style>
  <w:style w:type="character" w:styleId="IntenseReference">
    <w:name w:val="Intense Reference"/>
    <w:basedOn w:val="DefaultParagraphFont"/>
    <w:uiPriority w:val="32"/>
    <w:qFormat/>
    <w:rsid w:val="00DB50F4"/>
    <w:rPr>
      <w:b/>
      <w:bCs/>
      <w:smallCaps/>
      <w:color w:val="0F4761" w:themeColor="accent1" w:themeShade="BF"/>
      <w:spacing w:val="5"/>
    </w:rPr>
  </w:style>
  <w:style w:type="character" w:styleId="Hyperlink">
    <w:name w:val="Hyperlink"/>
    <w:basedOn w:val="DefaultParagraphFont"/>
    <w:uiPriority w:val="99"/>
    <w:unhideWhenUsed/>
    <w:rsid w:val="001B3007"/>
    <w:rPr>
      <w:color w:val="467886" w:themeColor="hyperlink"/>
      <w:u w:val="single"/>
    </w:rPr>
  </w:style>
  <w:style w:type="character" w:styleId="UnresolvedMention">
    <w:name w:val="Unresolved Mention"/>
    <w:basedOn w:val="DefaultParagraphFont"/>
    <w:uiPriority w:val="99"/>
    <w:semiHidden/>
    <w:unhideWhenUsed/>
    <w:rsid w:val="001B3007"/>
    <w:rPr>
      <w:color w:val="605E5C"/>
      <w:shd w:val="clear" w:color="auto" w:fill="E1DFDD"/>
    </w:rPr>
  </w:style>
  <w:style w:type="paragraph" w:styleId="NormalWeb">
    <w:name w:val="Normal (Web)"/>
    <w:basedOn w:val="Normal"/>
    <w:uiPriority w:val="99"/>
    <w:semiHidden/>
    <w:unhideWhenUsed/>
    <w:rsid w:val="00F422F0"/>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DecimalAligned">
    <w:name w:val="Decimal Aligned"/>
    <w:basedOn w:val="Normal"/>
    <w:uiPriority w:val="40"/>
    <w:qFormat/>
    <w:rsid w:val="007A2120"/>
    <w:pPr>
      <w:tabs>
        <w:tab w:val="decimal" w:pos="360"/>
      </w:tabs>
      <w:spacing w:after="200" w:line="276" w:lineRule="auto"/>
    </w:pPr>
    <w:rPr>
      <w:rFonts w:eastAsiaTheme="minorEastAsia" w:cs="Times New Roman"/>
      <w:kern w:val="0"/>
      <w:lang w:val="en-US"/>
    </w:rPr>
  </w:style>
  <w:style w:type="paragraph" w:styleId="FootnoteText">
    <w:name w:val="footnote text"/>
    <w:basedOn w:val="Normal"/>
    <w:link w:val="FootnoteTextChar"/>
    <w:uiPriority w:val="99"/>
    <w:unhideWhenUsed/>
    <w:rsid w:val="007A2120"/>
    <w:pPr>
      <w:spacing w:after="0" w:line="240" w:lineRule="auto"/>
    </w:pPr>
    <w:rPr>
      <w:rFonts w:eastAsiaTheme="minorEastAsia" w:cs="Times New Roman"/>
      <w:kern w:val="0"/>
      <w:sz w:val="20"/>
      <w:szCs w:val="20"/>
      <w:lang w:val="en-US"/>
    </w:rPr>
  </w:style>
  <w:style w:type="character" w:customStyle="1" w:styleId="FootnoteTextChar">
    <w:name w:val="Footnote Text Char"/>
    <w:basedOn w:val="DefaultParagraphFont"/>
    <w:link w:val="FootnoteText"/>
    <w:uiPriority w:val="99"/>
    <w:rsid w:val="007A2120"/>
    <w:rPr>
      <w:rFonts w:eastAsiaTheme="minorEastAsia" w:cs="Times New Roman"/>
      <w:kern w:val="0"/>
      <w:sz w:val="20"/>
      <w:szCs w:val="20"/>
      <w:lang w:val="en-US"/>
    </w:rPr>
  </w:style>
  <w:style w:type="character" w:styleId="SubtleEmphasis">
    <w:name w:val="Subtle Emphasis"/>
    <w:basedOn w:val="DefaultParagraphFont"/>
    <w:uiPriority w:val="19"/>
    <w:qFormat/>
    <w:rsid w:val="007A2120"/>
    <w:rPr>
      <w:i/>
      <w:iCs/>
    </w:rPr>
  </w:style>
  <w:style w:type="table" w:styleId="MediumShading2-Accent5">
    <w:name w:val="Medium Shading 2 Accent 5"/>
    <w:basedOn w:val="TableNormal"/>
    <w:uiPriority w:val="64"/>
    <w:rsid w:val="007A2120"/>
    <w:pPr>
      <w:spacing w:after="0" w:line="240" w:lineRule="auto"/>
    </w:pPr>
    <w:rPr>
      <w:rFonts w:eastAsiaTheme="minorEastAsia"/>
      <w:kern w:val="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jsm.bmj.com/content/bjsports/early/2017/04/28/bjsports-2017-%20097492childscat5.full.pdf" TargetMode="External"/><Relationship Id="rId13" Type="http://schemas.openxmlformats.org/officeDocument/2006/relationships/hyperlink" Target="https://www.thefa.com/-/media/thefacom-new/files/rules-and-regulations/2021-22/heading-guidance/youth-heading-guidance-chart.ashx" TargetMode="External"/><Relationship Id="rId3" Type="http://schemas.openxmlformats.org/officeDocument/2006/relationships/settings" Target="settings.xml"/><Relationship Id="rId7" Type="http://schemas.openxmlformats.org/officeDocument/2006/relationships/hyperlink" Target="http://bjsm.bmj.com/content/bjsports/51/11/851.full.pdf" TargetMode="External"/><Relationship Id="rId12" Type="http://schemas.openxmlformats.org/officeDocument/2006/relationships/hyperlink" Target="https://www.englandfootball.com/participate/learn/Brain-Health/Heading-in-Footba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jsm.bmj.com/content/47/5/267.full.pdf"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ncussioninsport.gov.au/__data/assets/pdf_file/0006/1133466/GRADED-RETURN-TO-SPORT-FRAMEWORK-COMMUNITY-AND-YOUTH.pdf" TargetMode="External"/><Relationship Id="rId4" Type="http://schemas.openxmlformats.org/officeDocument/2006/relationships/webSettings" Target="webSettings.xml"/><Relationship Id="rId9" Type="http://schemas.openxmlformats.org/officeDocument/2006/relationships/hyperlink" Target="file:///C:\Users\SCCSAAdmin\Downloads\37382_Concussion-Guidelines-for-community-and-youth-FA-acc.pdf" TargetMode="External"/><Relationship Id="rId14" Type="http://schemas.openxmlformats.org/officeDocument/2006/relationships/hyperlink" Target="https://www.uefa.com/MultimediaFiles/Download/uefaorg/Medical/02/64/21/56/2642156_DOWNL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SCCSA Admin - Office</dc:creator>
  <cp:keywords/>
  <dc:description/>
  <cp:lastModifiedBy>Sunshine Coast Churches Soccer Assoc</cp:lastModifiedBy>
  <cp:revision>2</cp:revision>
  <dcterms:created xsi:type="dcterms:W3CDTF">2024-06-04T03:20:00Z</dcterms:created>
  <dcterms:modified xsi:type="dcterms:W3CDTF">2024-06-04T03:20:00Z</dcterms:modified>
</cp:coreProperties>
</file>